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49F" w:rsidRPr="0083059D" w:rsidRDefault="0028049F" w:rsidP="0028049F">
      <w:pPr>
        <w:rPr>
          <w:rFonts w:ascii="Book Antiqua" w:eastAsia="Times New Roman" w:hAnsi="Book Antiqua" w:cs="Arial"/>
          <w:bCs/>
          <w:color w:val="000000"/>
          <w:sz w:val="22"/>
          <w:szCs w:val="22"/>
        </w:rPr>
      </w:pPr>
      <w:r w:rsidRPr="0083059D">
        <w:rPr>
          <w:rFonts w:ascii="Book Antiqua" w:eastAsia="Times New Roman" w:hAnsi="Book Antiqua" w:cs="Arial"/>
          <w:bCs/>
          <w:color w:val="000000"/>
          <w:sz w:val="22"/>
          <w:szCs w:val="22"/>
        </w:rPr>
        <w:t>Collin Coviello</w:t>
      </w:r>
    </w:p>
    <w:p w:rsidR="0028049F" w:rsidRPr="0083059D" w:rsidRDefault="0028049F" w:rsidP="0028049F">
      <w:pPr>
        <w:rPr>
          <w:rFonts w:ascii="Book Antiqua" w:eastAsia="Times New Roman" w:hAnsi="Book Antiqua" w:cs="Arial"/>
          <w:bCs/>
          <w:color w:val="000000"/>
          <w:sz w:val="22"/>
          <w:szCs w:val="22"/>
        </w:rPr>
      </w:pPr>
      <w:r w:rsidRPr="0083059D">
        <w:rPr>
          <w:rFonts w:ascii="Book Antiqua" w:eastAsia="Times New Roman" w:hAnsi="Book Antiqua" w:cs="Arial"/>
          <w:bCs/>
          <w:color w:val="000000"/>
          <w:sz w:val="22"/>
          <w:szCs w:val="22"/>
        </w:rPr>
        <w:t>Plant Biology</w:t>
      </w:r>
    </w:p>
    <w:p w:rsidR="0028049F" w:rsidRPr="0083059D" w:rsidRDefault="0028049F" w:rsidP="0028049F">
      <w:pPr>
        <w:rPr>
          <w:rFonts w:ascii="Book Antiqua" w:eastAsia="Times New Roman" w:hAnsi="Book Antiqua" w:cs="Arial"/>
          <w:bCs/>
          <w:color w:val="000000"/>
          <w:sz w:val="22"/>
          <w:szCs w:val="22"/>
        </w:rPr>
      </w:pPr>
      <w:r w:rsidRPr="0083059D">
        <w:rPr>
          <w:rFonts w:ascii="Book Antiqua" w:eastAsia="Times New Roman" w:hAnsi="Book Antiqua" w:cs="Arial"/>
          <w:bCs/>
          <w:color w:val="000000"/>
          <w:sz w:val="22"/>
          <w:szCs w:val="22"/>
        </w:rPr>
        <w:t>Dr. Hays</w:t>
      </w:r>
    </w:p>
    <w:p w:rsidR="0028049F" w:rsidRPr="0083059D" w:rsidRDefault="0028049F" w:rsidP="0028049F">
      <w:pPr>
        <w:rPr>
          <w:rFonts w:ascii="Book Antiqua" w:eastAsia="Times New Roman" w:hAnsi="Book Antiqua" w:cs="Arial"/>
          <w:bCs/>
          <w:color w:val="000000"/>
          <w:sz w:val="22"/>
          <w:szCs w:val="22"/>
        </w:rPr>
      </w:pPr>
      <w:r w:rsidRPr="0083059D">
        <w:rPr>
          <w:rFonts w:ascii="Book Antiqua" w:eastAsia="Times New Roman" w:hAnsi="Book Antiqua" w:cs="Arial"/>
          <w:bCs/>
          <w:color w:val="000000"/>
          <w:sz w:val="22"/>
          <w:szCs w:val="22"/>
        </w:rPr>
        <w:t>16 November 2018</w:t>
      </w:r>
    </w:p>
    <w:p w:rsidR="0028049F" w:rsidRPr="0083059D" w:rsidRDefault="0028049F" w:rsidP="0028049F">
      <w:pPr>
        <w:rPr>
          <w:rFonts w:ascii="Book Antiqua" w:eastAsia="Times New Roman" w:hAnsi="Book Antiqua" w:cs="Arial"/>
          <w:bCs/>
          <w:color w:val="000000"/>
          <w:sz w:val="22"/>
          <w:szCs w:val="22"/>
        </w:rPr>
      </w:pPr>
    </w:p>
    <w:p w:rsidR="0028049F" w:rsidRPr="0079567D" w:rsidRDefault="0028049F" w:rsidP="0028049F">
      <w:pPr>
        <w:jc w:val="center"/>
        <w:rPr>
          <w:rFonts w:ascii="Book Antiqua" w:eastAsia="Times New Roman" w:hAnsi="Book Antiqua" w:cs="Arial"/>
          <w:b/>
          <w:bCs/>
          <w:color w:val="000000"/>
          <w:sz w:val="22"/>
          <w:szCs w:val="22"/>
        </w:rPr>
      </w:pPr>
      <w:r w:rsidRPr="0079567D">
        <w:rPr>
          <w:rFonts w:ascii="Book Antiqua" w:eastAsia="Times New Roman" w:hAnsi="Book Antiqua" w:cs="Arial"/>
          <w:b/>
          <w:bCs/>
          <w:color w:val="000000"/>
          <w:sz w:val="22"/>
          <w:szCs w:val="22"/>
        </w:rPr>
        <w:t xml:space="preserve">Selective pressure, and its effect on density of petiole trichomes in juvenile </w:t>
      </w:r>
      <w:r w:rsidRPr="0079567D">
        <w:rPr>
          <w:rFonts w:ascii="Book Antiqua" w:eastAsia="Times New Roman" w:hAnsi="Book Antiqua" w:cs="Arial"/>
          <w:b/>
          <w:bCs/>
          <w:i/>
          <w:color w:val="000000"/>
          <w:sz w:val="22"/>
          <w:szCs w:val="22"/>
        </w:rPr>
        <w:t xml:space="preserve">B. </w:t>
      </w:r>
      <w:proofErr w:type="spellStart"/>
      <w:r w:rsidRPr="0079567D">
        <w:rPr>
          <w:rFonts w:ascii="Book Antiqua" w:eastAsia="Times New Roman" w:hAnsi="Book Antiqua" w:cs="Arial"/>
          <w:b/>
          <w:bCs/>
          <w:i/>
          <w:color w:val="000000"/>
          <w:sz w:val="22"/>
          <w:szCs w:val="22"/>
        </w:rPr>
        <w:t>rapa</w:t>
      </w:r>
      <w:proofErr w:type="spellEnd"/>
    </w:p>
    <w:p w:rsidR="0028049F" w:rsidRPr="0083059D" w:rsidRDefault="0028049F" w:rsidP="0028049F">
      <w:pPr>
        <w:rPr>
          <w:rFonts w:ascii="Book Antiqua" w:eastAsia="Times New Roman" w:hAnsi="Book Antiqua" w:cs="Arial"/>
          <w:b/>
          <w:bCs/>
          <w:color w:val="000000"/>
          <w:sz w:val="22"/>
          <w:szCs w:val="22"/>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b/>
          <w:bCs/>
          <w:color w:val="000000"/>
          <w:sz w:val="22"/>
          <w:szCs w:val="22"/>
        </w:rPr>
        <w:t>Overview</w:t>
      </w:r>
      <w:r w:rsidRPr="0083059D">
        <w:rPr>
          <w:rFonts w:ascii="Book Antiqua" w:eastAsia="Times New Roman" w:hAnsi="Book Antiqua" w:cs="Arial"/>
          <w:b/>
          <w:bCs/>
          <w:color w:val="000000"/>
          <w:sz w:val="22"/>
          <w:szCs w:val="22"/>
        </w:rPr>
        <w:t>:</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color w:val="000000"/>
          <w:sz w:val="22"/>
          <w:szCs w:val="22"/>
        </w:rPr>
        <w:t>Some traits that plants express throughout their life can be genotypically related, and some are phenotypically plastic, and respond to certain stimuli. In the case of this experiment, trichome density was examined</w:t>
      </w:r>
      <w:r w:rsidRPr="0083059D">
        <w:rPr>
          <w:rFonts w:ascii="Book Antiqua" w:eastAsia="Times New Roman" w:hAnsi="Book Antiqua" w:cs="Arial"/>
          <w:color w:val="000000"/>
          <w:sz w:val="22"/>
          <w:szCs w:val="22"/>
        </w:rPr>
        <w:t xml:space="preserve"> in juvenile </w:t>
      </w:r>
      <w:r w:rsidRPr="0083059D">
        <w:rPr>
          <w:rFonts w:ascii="Book Antiqua" w:eastAsia="Times New Roman" w:hAnsi="Book Antiqua" w:cs="Arial"/>
          <w:i/>
          <w:color w:val="000000"/>
          <w:sz w:val="22"/>
          <w:szCs w:val="22"/>
        </w:rPr>
        <w:t xml:space="preserve">Brassica </w:t>
      </w:r>
      <w:proofErr w:type="spellStart"/>
      <w:r w:rsidRPr="0083059D">
        <w:rPr>
          <w:rFonts w:ascii="Book Antiqua" w:eastAsia="Times New Roman" w:hAnsi="Book Antiqua" w:cs="Arial"/>
          <w:i/>
          <w:color w:val="000000"/>
          <w:sz w:val="22"/>
          <w:szCs w:val="22"/>
        </w:rPr>
        <w:t>rapa</w:t>
      </w:r>
      <w:proofErr w:type="spellEnd"/>
      <w:r w:rsidRPr="0083059D">
        <w:rPr>
          <w:rFonts w:ascii="Book Antiqua" w:eastAsia="Times New Roman" w:hAnsi="Book Antiqua" w:cs="Arial"/>
          <w:color w:val="000000"/>
          <w:sz w:val="22"/>
          <w:szCs w:val="22"/>
        </w:rPr>
        <w:t xml:space="preserve"> (wild mustard) plants</w:t>
      </w:r>
      <w:r w:rsidRPr="0028049F">
        <w:rPr>
          <w:rFonts w:ascii="Book Antiqua" w:eastAsia="Times New Roman" w:hAnsi="Book Antiqua" w:cs="Arial"/>
          <w:color w:val="000000"/>
          <w:sz w:val="22"/>
          <w:szCs w:val="22"/>
        </w:rPr>
        <w:t>. If the trichome density of the younger plants would respond to selective pressure, and the distribution of the histogram showing trichome density would shift to have higher values.</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b/>
          <w:bCs/>
          <w:color w:val="000000"/>
          <w:sz w:val="22"/>
          <w:szCs w:val="22"/>
        </w:rPr>
        <w:t>Hypothesis:</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color w:val="000000"/>
          <w:sz w:val="22"/>
          <w:szCs w:val="22"/>
        </w:rPr>
        <w:t xml:space="preserve">One can induce a higher rate of trichome production in a population by selectively breeding individuals that have a high </w:t>
      </w:r>
      <w:proofErr w:type="spellStart"/>
      <w:r w:rsidRPr="0028049F">
        <w:rPr>
          <w:rFonts w:ascii="Book Antiqua" w:eastAsia="Times New Roman" w:hAnsi="Book Antiqua" w:cs="Arial"/>
          <w:color w:val="000000"/>
          <w:sz w:val="22"/>
          <w:szCs w:val="22"/>
        </w:rPr>
        <w:t>trichomal</w:t>
      </w:r>
      <w:proofErr w:type="spellEnd"/>
      <w:r w:rsidRPr="0028049F">
        <w:rPr>
          <w:rFonts w:ascii="Book Antiqua" w:eastAsia="Times New Roman" w:hAnsi="Book Antiqua" w:cs="Arial"/>
          <w:color w:val="000000"/>
          <w:sz w:val="22"/>
          <w:szCs w:val="22"/>
        </w:rPr>
        <w:t xml:space="preserve"> density on their petioles with one another.</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b/>
          <w:bCs/>
          <w:color w:val="000000"/>
          <w:sz w:val="22"/>
          <w:szCs w:val="22"/>
        </w:rPr>
        <w:t>Experimental Design:</w:t>
      </w:r>
    </w:p>
    <w:p w:rsidR="0028049F" w:rsidRPr="0028049F" w:rsidRDefault="0028049F" w:rsidP="0028049F">
      <w:pPr>
        <w:rPr>
          <w:rFonts w:ascii="Book Antiqua" w:eastAsia="Times New Roman" w:hAnsi="Book Antiqua" w:cs="Times New Roman"/>
        </w:rPr>
      </w:pPr>
    </w:p>
    <w:p w:rsidR="0028049F" w:rsidRPr="0083059D" w:rsidRDefault="0028049F" w:rsidP="0028049F">
      <w:pPr>
        <w:keepNext/>
        <w:rPr>
          <w:rFonts w:ascii="Book Antiqua" w:hAnsi="Book Antiqua"/>
        </w:rPr>
      </w:pPr>
      <w:r w:rsidRPr="0028049F">
        <w:rPr>
          <w:rFonts w:ascii="Book Antiqua" w:eastAsia="Times New Roman" w:hAnsi="Book Antiqua" w:cs="Arial"/>
          <w:color w:val="000000"/>
          <w:sz w:val="22"/>
          <w:szCs w:val="22"/>
        </w:rPr>
        <w:fldChar w:fldCharType="begin"/>
      </w:r>
      <w:r w:rsidRPr="0028049F">
        <w:rPr>
          <w:rFonts w:ascii="Book Antiqua" w:eastAsia="Times New Roman" w:hAnsi="Book Antiqua" w:cs="Arial"/>
          <w:color w:val="000000"/>
          <w:sz w:val="22"/>
          <w:szCs w:val="22"/>
        </w:rPr>
        <w:instrText xml:space="preserve"> INCLUDEPICTURE "https://lh3.googleusercontent.com/Vw5LjDlQIGirLq9UZqy9PKoWx-wgjm8QZE3xNfd3yVnBOayEDLq_MxtuYGA25qDnbSB_2R6tX-4gpapzLa3gNC9oocF1kh_ipPt_gzYrcVYrizcuiAwM_sePltCYAnCFZL2z9isR"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2864456" cy="3805921"/>
            <wp:effectExtent l="0" t="0" r="6350" b="4445"/>
            <wp:docPr id="6" name="Picture 6" descr="https://lh3.googleusercontent.com/Vw5LjDlQIGirLq9UZqy9PKoWx-wgjm8QZE3xNfd3yVnBOayEDLq_MxtuYGA25qDnbSB_2R6tX-4gpapzLa3gNC9oocF1kh_ipPt_gzYrcVYrizcuiAwM_sePltCYAnCFZL2z9i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w5LjDlQIGirLq9UZqy9PKoWx-wgjm8QZE3xNfd3yVnBOayEDLq_MxtuYGA25qDnbSB_2R6tX-4gpapzLa3gNC9oocF1kh_ipPt_gzYrcVYrizcuiAwM_sePltCYAnCFZL2z9is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3780" cy="3844883"/>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28049F" w:rsidRDefault="0028049F" w:rsidP="0028049F">
      <w:pPr>
        <w:pStyle w:val="Caption"/>
        <w:rPr>
          <w:rFonts w:ascii="Book Antiqua" w:eastAsia="Times New Roman" w:hAnsi="Book Antiqua" w:cs="Times New Roman"/>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1</w:t>
      </w:r>
      <w:r w:rsidRPr="0083059D">
        <w:rPr>
          <w:rFonts w:ascii="Book Antiqua" w:hAnsi="Book Antiqua"/>
        </w:rPr>
        <w:fldChar w:fldCharType="end"/>
      </w:r>
      <w:r w:rsidRPr="0083059D">
        <w:rPr>
          <w:rFonts w:ascii="Book Antiqua" w:hAnsi="Book Antiqua"/>
        </w:rPr>
        <w:t xml:space="preserve">. This image shows the F1 generation, “potted” on 9/24 into film canisters containing a seed (“Brassica </w:t>
      </w:r>
      <w:proofErr w:type="spellStart"/>
      <w:r w:rsidRPr="0083059D">
        <w:rPr>
          <w:rFonts w:ascii="Book Antiqua" w:hAnsi="Book Antiqua"/>
        </w:rPr>
        <w:t>rapa</w:t>
      </w:r>
      <w:proofErr w:type="spellEnd"/>
      <w:r w:rsidRPr="0083059D">
        <w:rPr>
          <w:rFonts w:ascii="Book Antiqua" w:hAnsi="Book Antiqua"/>
        </w:rPr>
        <w:t>”), soil, and a piece of felt.</w:t>
      </w:r>
    </w:p>
    <w:p w:rsidR="0028049F" w:rsidRPr="0028049F" w:rsidRDefault="0028049F" w:rsidP="0028049F">
      <w:pPr>
        <w:ind w:firstLine="720"/>
        <w:rPr>
          <w:rFonts w:ascii="Book Antiqua" w:eastAsia="Times New Roman" w:hAnsi="Book Antiqua" w:cs="Times New Roman"/>
        </w:rPr>
      </w:pPr>
      <w:r w:rsidRPr="0083059D">
        <w:rPr>
          <w:rFonts w:ascii="Book Antiqua" w:eastAsia="Times New Roman" w:hAnsi="Book Antiqua" w:cs="Arial"/>
          <w:color w:val="000000"/>
          <w:sz w:val="22"/>
          <w:szCs w:val="22"/>
        </w:rPr>
        <w:t xml:space="preserve">Figure 1 shows the set-up for this experiment. Every plant was put into a separate film cannister which contained soil, and a small piece of felt. </w:t>
      </w:r>
      <w:r w:rsidRPr="0028049F">
        <w:rPr>
          <w:rFonts w:ascii="Book Antiqua" w:eastAsia="Times New Roman" w:hAnsi="Book Antiqua" w:cs="Arial"/>
          <w:color w:val="000000"/>
          <w:sz w:val="22"/>
          <w:szCs w:val="22"/>
        </w:rPr>
        <w:t>The felt extends to come out the back of the film canister, and onto the surface of the top of the two-tiered tray. This top layer is covered with a sheet of felt, and underneath, it has sections of rope that are thread through it. These mechanisms all help the plants indirectly pull water from the tray below, which is kept full at all times. The plants live in a milk crate that has a fluorescent bulb inside that feeds the plants constantly with light energy.</w:t>
      </w:r>
    </w:p>
    <w:p w:rsidR="0028049F" w:rsidRPr="0028049F" w:rsidRDefault="0028049F" w:rsidP="0028049F">
      <w:pPr>
        <w:rPr>
          <w:rFonts w:ascii="Book Antiqua" w:eastAsia="Times New Roman" w:hAnsi="Book Antiqua" w:cs="Times New Roman"/>
        </w:rPr>
      </w:pPr>
    </w:p>
    <w:p w:rsidR="0028049F" w:rsidRPr="0083059D" w:rsidRDefault="0028049F" w:rsidP="0028049F">
      <w:pPr>
        <w:keepNext/>
        <w:jc w:val="center"/>
        <w:rPr>
          <w:rFonts w:ascii="Book Antiqua" w:hAnsi="Book Antiqua"/>
        </w:rPr>
      </w:pPr>
      <w:r w:rsidRPr="0028049F">
        <w:rPr>
          <w:rFonts w:ascii="Book Antiqua" w:eastAsia="Times New Roman" w:hAnsi="Book Antiqua" w:cs="Arial"/>
          <w:color w:val="000000"/>
          <w:sz w:val="22"/>
          <w:szCs w:val="22"/>
        </w:rPr>
        <w:lastRenderedPageBreak/>
        <w:fldChar w:fldCharType="begin"/>
      </w:r>
      <w:r w:rsidRPr="0028049F">
        <w:rPr>
          <w:rFonts w:ascii="Book Antiqua" w:eastAsia="Times New Roman" w:hAnsi="Book Antiqua" w:cs="Arial"/>
          <w:color w:val="000000"/>
          <w:sz w:val="22"/>
          <w:szCs w:val="22"/>
        </w:rPr>
        <w:instrText xml:space="preserve"> INCLUDEPICTURE "https://lh4.googleusercontent.com/qokI_aoE1N8gKuKaQNCyoKUsPIiYDjOJpnlZVG8PtDTmDab8J9hD-uSOaXYDhn1x4p4Sj0K0FC2d3_I-S2uBJMAowqd-RUd1p6J16lxk7wgOQv3OrF9PWUoXtnBPVBkxVqPqyUXY"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2296632" cy="3062176"/>
            <wp:effectExtent l="0" t="0" r="2540" b="0"/>
            <wp:docPr id="5" name="Picture 5" descr="https://lh4.googleusercontent.com/qokI_aoE1N8gKuKaQNCyoKUsPIiYDjOJpnlZVG8PtDTmDab8J9hD-uSOaXYDhn1x4p4Sj0K0FC2d3_I-S2uBJMAowqd-RUd1p6J16lxk7wgOQv3OrF9PWUoXtnBPVBkxVqPqyU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okI_aoE1N8gKuKaQNCyoKUsPIiYDjOJpnlZVG8PtDTmDab8J9hD-uSOaXYDhn1x4p4Sj0K0FC2d3_I-S2uBJMAowqd-RUd1p6J16lxk7wgOQv3OrF9PWUoXtnBPVBkxVqPqyUX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3156" cy="3070875"/>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28049F" w:rsidRDefault="0028049F" w:rsidP="0028049F">
      <w:pPr>
        <w:pStyle w:val="Caption"/>
        <w:jc w:val="center"/>
        <w:rPr>
          <w:rFonts w:ascii="Book Antiqua" w:eastAsia="Times New Roman" w:hAnsi="Book Antiqua" w:cs="Times New Roman"/>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2</w:t>
      </w:r>
      <w:r w:rsidRPr="0083059D">
        <w:rPr>
          <w:rFonts w:ascii="Book Antiqua" w:hAnsi="Book Antiqua"/>
        </w:rPr>
        <w:fldChar w:fldCharType="end"/>
      </w:r>
      <w:r w:rsidRPr="0083059D">
        <w:rPr>
          <w:rFonts w:ascii="Book Antiqua" w:hAnsi="Book Antiqua"/>
        </w:rPr>
        <w:t xml:space="preserve">. This image shows the phenotype of the presence of trichomes on the petiole. These have their first true leaves. The </w:t>
      </w:r>
      <w:proofErr w:type="spellStart"/>
      <w:r w:rsidRPr="0083059D">
        <w:rPr>
          <w:rFonts w:ascii="Book Antiqua" w:hAnsi="Book Antiqua"/>
        </w:rPr>
        <w:t>avg</w:t>
      </w:r>
      <w:proofErr w:type="spellEnd"/>
      <w:r w:rsidRPr="0083059D">
        <w:rPr>
          <w:rFonts w:ascii="Book Antiqua" w:hAnsi="Book Antiqua"/>
        </w:rPr>
        <w:t xml:space="preserve"> amount of trichomes per petiole was used as the measurement for trichome density.</w:t>
      </w:r>
    </w:p>
    <w:p w:rsidR="0028049F" w:rsidRPr="0083059D" w:rsidRDefault="0028049F" w:rsidP="0028049F">
      <w:pPr>
        <w:keepNext/>
        <w:jc w:val="center"/>
        <w:rPr>
          <w:rFonts w:ascii="Book Antiqua" w:hAnsi="Book Antiqua"/>
        </w:rPr>
      </w:pPr>
      <w:r w:rsidRPr="0028049F">
        <w:rPr>
          <w:rFonts w:ascii="Book Antiqua" w:eastAsia="Times New Roman" w:hAnsi="Book Antiqua" w:cs="Arial"/>
          <w:color w:val="000000"/>
          <w:sz w:val="22"/>
          <w:szCs w:val="22"/>
        </w:rPr>
        <w:fldChar w:fldCharType="begin"/>
      </w:r>
      <w:r w:rsidRPr="0028049F">
        <w:rPr>
          <w:rFonts w:ascii="Book Antiqua" w:eastAsia="Times New Roman" w:hAnsi="Book Antiqua" w:cs="Arial"/>
          <w:color w:val="000000"/>
          <w:sz w:val="22"/>
          <w:szCs w:val="22"/>
        </w:rPr>
        <w:instrText xml:space="preserve"> INCLUDEPICTURE "https://lh5.googleusercontent.com/r6FUq3Uv4r4woM87KdfRvcLHzybqunCeuFGPz9wGplq6lU91Q-FaK2sAX35qlWVkVlea9FqZYk5vf-J-VbtcZtGuP8NIqc-pMcvDAhJwK4xsve6e6NA0O4tuxrJqmiLFrOSSS5nU"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2603500" cy="3467100"/>
            <wp:effectExtent l="0" t="0" r="0" b="0"/>
            <wp:docPr id="4" name="Picture 4" descr="https://lh5.googleusercontent.com/r6FUq3Uv4r4woM87KdfRvcLHzybqunCeuFGPz9wGplq6lU91Q-FaK2sAX35qlWVkVlea9FqZYk5vf-J-VbtcZtGuP8NIqc-pMcvDAhJwK4xsve6e6NA0O4tuxrJqmiLFrOSSS5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6FUq3Uv4r4woM87KdfRvcLHzybqunCeuFGPz9wGplq6lU91Q-FaK2sAX35qlWVkVlea9FqZYk5vf-J-VbtcZtGuP8NIqc-pMcvDAhJwK4xsve6e6NA0O4tuxrJqmiLFrOSSS5n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0" cy="3467100"/>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28049F" w:rsidRDefault="0028049F" w:rsidP="0028049F">
      <w:pPr>
        <w:pStyle w:val="Caption"/>
        <w:jc w:val="center"/>
        <w:rPr>
          <w:rFonts w:ascii="Book Antiqua" w:eastAsia="Times New Roman" w:hAnsi="Book Antiqua" w:cs="Times New Roman"/>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3</w:t>
      </w:r>
      <w:r w:rsidRPr="0083059D">
        <w:rPr>
          <w:rFonts w:ascii="Book Antiqua" w:hAnsi="Book Antiqua"/>
        </w:rPr>
        <w:fldChar w:fldCharType="end"/>
      </w:r>
      <w:r w:rsidRPr="0083059D">
        <w:rPr>
          <w:rFonts w:ascii="Book Antiqua" w:hAnsi="Book Antiqua"/>
        </w:rPr>
        <w:t xml:space="preserve">. This phenotype of” B. </w:t>
      </w:r>
      <w:proofErr w:type="spellStart"/>
      <w:r w:rsidRPr="0083059D">
        <w:rPr>
          <w:rFonts w:ascii="Book Antiqua" w:hAnsi="Book Antiqua"/>
        </w:rPr>
        <w:t>rapa</w:t>
      </w:r>
      <w:proofErr w:type="spellEnd"/>
      <w:r w:rsidRPr="0083059D">
        <w:rPr>
          <w:rFonts w:ascii="Book Antiqua" w:hAnsi="Book Antiqua"/>
        </w:rPr>
        <w:t xml:space="preserve">” has no trichomes on </w:t>
      </w:r>
      <w:proofErr w:type="spellStart"/>
      <w:r w:rsidRPr="0083059D">
        <w:rPr>
          <w:rFonts w:ascii="Book Antiqua" w:hAnsi="Book Antiqua"/>
        </w:rPr>
        <w:t>it’s</w:t>
      </w:r>
      <w:proofErr w:type="spellEnd"/>
      <w:r w:rsidRPr="0083059D">
        <w:rPr>
          <w:rFonts w:ascii="Book Antiqua" w:hAnsi="Book Antiqua"/>
        </w:rPr>
        <w:t xml:space="preserve"> petioles.</w:t>
      </w:r>
    </w:p>
    <w:p w:rsidR="0028049F" w:rsidRPr="0083059D" w:rsidRDefault="0028049F" w:rsidP="0028049F">
      <w:pPr>
        <w:ind w:firstLine="720"/>
        <w:rPr>
          <w:rFonts w:ascii="Book Antiqua" w:eastAsia="Times New Roman" w:hAnsi="Book Antiqua" w:cs="Arial"/>
          <w:color w:val="000000"/>
          <w:sz w:val="22"/>
          <w:szCs w:val="22"/>
        </w:rPr>
      </w:pPr>
      <w:r w:rsidRPr="0083059D">
        <w:rPr>
          <w:rFonts w:ascii="Book Antiqua" w:eastAsia="Times New Roman" w:hAnsi="Book Antiqua" w:cs="Arial"/>
          <w:color w:val="000000"/>
          <w:sz w:val="22"/>
          <w:szCs w:val="22"/>
        </w:rPr>
        <w:t>As seen in Figure 2, and in Figure 3, there were two distinct classes of phenotypes, where some showed trichome growth on the petioles, and some did not.</w:t>
      </w:r>
    </w:p>
    <w:p w:rsidR="0028049F" w:rsidRPr="0028049F" w:rsidRDefault="0028049F" w:rsidP="0028049F">
      <w:pPr>
        <w:rPr>
          <w:rFonts w:ascii="Book Antiqua" w:eastAsia="Times New Roman" w:hAnsi="Book Antiqua" w:cs="Times New Roman"/>
        </w:rPr>
      </w:pP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There also seem to be phenotypes that can differentiate by size, where some are over 6 inches tall, and some are under 6 inches tall. This last picture shows the buds starting to bloom after 17 days. This was not a factor when mates were chosen.</w:t>
      </w:r>
    </w:p>
    <w:p w:rsidR="0028049F" w:rsidRPr="0028049F" w:rsidRDefault="0028049F" w:rsidP="0028049F">
      <w:pPr>
        <w:rPr>
          <w:rFonts w:ascii="Book Antiqua" w:eastAsia="Times New Roman" w:hAnsi="Book Antiqua" w:cs="Times New Roman"/>
        </w:rPr>
      </w:pPr>
    </w:p>
    <w:p w:rsidR="0028049F" w:rsidRPr="0083059D" w:rsidRDefault="0028049F" w:rsidP="0028049F">
      <w:pPr>
        <w:keepNext/>
        <w:rPr>
          <w:rFonts w:ascii="Book Antiqua" w:hAnsi="Book Antiqua"/>
        </w:rPr>
      </w:pPr>
      <w:r w:rsidRPr="0028049F">
        <w:rPr>
          <w:rFonts w:ascii="Book Antiqua" w:eastAsia="Times New Roman" w:hAnsi="Book Antiqua" w:cs="Arial"/>
          <w:color w:val="000000"/>
          <w:sz w:val="22"/>
          <w:szCs w:val="22"/>
        </w:rPr>
        <w:lastRenderedPageBreak/>
        <w:fldChar w:fldCharType="begin"/>
      </w:r>
      <w:r w:rsidRPr="0028049F">
        <w:rPr>
          <w:rFonts w:ascii="Book Antiqua" w:eastAsia="Times New Roman" w:hAnsi="Book Antiqua" w:cs="Arial"/>
          <w:color w:val="000000"/>
          <w:sz w:val="22"/>
          <w:szCs w:val="22"/>
        </w:rPr>
        <w:instrText xml:space="preserve"> INCLUDEPICTURE "https://lh3.googleusercontent.com/4014rNPYZtcnJ5nxr55Iab_2-S8uxRGJq459BjCwoqIT8ZCvuq86iPVWIUyEhOoA-ihh5rBgKOof8Xadev8ADpEirPDrxqbA-dAZFXqtFXe-9-tnlY1gB78Nq4L_ZDD_EGoz5nL6"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6223590" cy="3742660"/>
            <wp:effectExtent l="0" t="0" r="0" b="4445"/>
            <wp:docPr id="3" name="Picture 3" descr="https://lh3.googleusercontent.com/4014rNPYZtcnJ5nxr55Iab_2-S8uxRGJq459BjCwoqIT8ZCvuq86iPVWIUyEhOoA-ihh5rBgKOof8Xadev8ADpEirPDrxqbA-dAZFXqtFXe-9-tnlY1gB78Nq4L_ZDD_EGoz5n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014rNPYZtcnJ5nxr55Iab_2-S8uxRGJq459BjCwoqIT8ZCvuq86iPVWIUyEhOoA-ihh5rBgKOof8Xadev8ADpEirPDrxqbA-dAZFXqtFXe-9-tnlY1gB78Nq4L_ZDD_EGoz5nL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4673" cy="3749325"/>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28049F" w:rsidRDefault="0028049F" w:rsidP="0028049F">
      <w:pPr>
        <w:pStyle w:val="Caption"/>
        <w:rPr>
          <w:rFonts w:ascii="Book Antiqua" w:eastAsia="Times New Roman" w:hAnsi="Book Antiqua" w:cs="Times New Roman"/>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4</w:t>
      </w:r>
      <w:r w:rsidRPr="0083059D">
        <w:rPr>
          <w:rFonts w:ascii="Book Antiqua" w:hAnsi="Book Antiqua"/>
        </w:rPr>
        <w:fldChar w:fldCharType="end"/>
      </w:r>
      <w:r w:rsidRPr="0083059D">
        <w:rPr>
          <w:rFonts w:ascii="Book Antiqua" w:hAnsi="Book Antiqua"/>
        </w:rPr>
        <w:t>. This is a histogram showing the relative frequency of petiole distribution among plants in F1 generation.</w:t>
      </w: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 xml:space="preserve">Plants were selected for higher trichome density and bred with other plants with higher trichome density to show </w:t>
      </w:r>
      <w:r w:rsidRPr="0083059D">
        <w:rPr>
          <w:rFonts w:ascii="Book Antiqua" w:eastAsia="Times New Roman" w:hAnsi="Book Antiqua" w:cs="Arial"/>
          <w:color w:val="000000"/>
          <w:sz w:val="22"/>
          <w:szCs w:val="22"/>
        </w:rPr>
        <w:t>the trait’s</w:t>
      </w:r>
      <w:r w:rsidRPr="0028049F">
        <w:rPr>
          <w:rFonts w:ascii="Book Antiqua" w:eastAsia="Times New Roman" w:hAnsi="Book Antiqua" w:cs="Arial"/>
          <w:color w:val="000000"/>
          <w:sz w:val="22"/>
          <w:szCs w:val="22"/>
        </w:rPr>
        <w:t xml:space="preserve"> response to selective pressure (1). A normal horse-hair paint brush was used to take pollen from the dehiscent stamen of the male parts of the first </w:t>
      </w:r>
      <w:r w:rsidRPr="0083059D">
        <w:rPr>
          <w:rFonts w:ascii="Book Antiqua" w:eastAsia="Times New Roman" w:hAnsi="Book Antiqua" w:cs="Arial"/>
          <w:color w:val="000000"/>
          <w:sz w:val="22"/>
          <w:szCs w:val="22"/>
        </w:rPr>
        <w:t>plant and</w:t>
      </w:r>
      <w:r w:rsidRPr="0028049F">
        <w:rPr>
          <w:rFonts w:ascii="Book Antiqua" w:eastAsia="Times New Roman" w:hAnsi="Book Antiqua" w:cs="Arial"/>
          <w:color w:val="000000"/>
          <w:sz w:val="22"/>
          <w:szCs w:val="22"/>
        </w:rPr>
        <w:t xml:space="preserve"> brushed onto the stigma of the plant it was meant to be crossed with. Between each </w:t>
      </w:r>
      <w:r w:rsidRPr="0083059D">
        <w:rPr>
          <w:rFonts w:ascii="Book Antiqua" w:eastAsia="Times New Roman" w:hAnsi="Book Antiqua" w:cs="Arial"/>
          <w:color w:val="000000"/>
          <w:sz w:val="22"/>
          <w:szCs w:val="22"/>
        </w:rPr>
        <w:t>pollination</w:t>
      </w:r>
      <w:r w:rsidRPr="0028049F">
        <w:rPr>
          <w:rFonts w:ascii="Book Antiqua" w:eastAsia="Times New Roman" w:hAnsi="Book Antiqua" w:cs="Arial"/>
          <w:color w:val="000000"/>
          <w:sz w:val="22"/>
          <w:szCs w:val="22"/>
        </w:rPr>
        <w:t>, the paintbrush was changed with another identical paintbrush.</w:t>
      </w:r>
    </w:p>
    <w:p w:rsidR="0028049F" w:rsidRPr="0028049F" w:rsidRDefault="0028049F" w:rsidP="0028049F">
      <w:pPr>
        <w:rPr>
          <w:rFonts w:ascii="Book Antiqua" w:eastAsia="Times New Roman" w:hAnsi="Book Antiqua" w:cs="Times New Roman"/>
        </w:rPr>
      </w:pP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Plant F1.9 (4 trichomes/petiole*) was crossed with F1.17 (6 trichomes/petiole*)</w:t>
      </w: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Plant F1.2 (6 trichomes/petiole*) was crossed with F1.13 (10 trichomes/petiole*)</w:t>
      </w: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Plant F1.1 (8 trichomes/petiole*) was crossed with F1.10 (8 trichomes/petiole*)</w:t>
      </w: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Plant F1.31 (6 trichomes/petiole*) was crossed with F1.25 (3 trichomes/petiole*)</w:t>
      </w: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*Trichomes were counted across 4 different petioles in juvenile plants, and was averaged</w:t>
      </w:r>
    </w:p>
    <w:p w:rsidR="0028049F" w:rsidRPr="0028049F" w:rsidRDefault="0028049F" w:rsidP="0028049F">
      <w:pPr>
        <w:jc w:val="center"/>
        <w:rPr>
          <w:rFonts w:ascii="Book Antiqua" w:eastAsia="Times New Roman" w:hAnsi="Book Antiqua" w:cs="Times New Roman"/>
        </w:rPr>
      </w:pPr>
      <w:r w:rsidRPr="0028049F">
        <w:rPr>
          <w:rFonts w:ascii="Book Antiqua" w:eastAsia="Times New Roman" w:hAnsi="Book Antiqua" w:cs="Arial"/>
          <w:color w:val="000000"/>
          <w:sz w:val="22"/>
          <w:szCs w:val="22"/>
        </w:rPr>
        <w:t>to attain the final trichomes/petiole measurement.</w:t>
      </w:r>
    </w:p>
    <w:p w:rsidR="0028049F" w:rsidRPr="0028049F" w:rsidRDefault="0028049F" w:rsidP="0028049F">
      <w:pPr>
        <w:rPr>
          <w:rFonts w:ascii="Book Antiqua" w:eastAsia="Times New Roman" w:hAnsi="Book Antiqua" w:cs="Times New Roman"/>
        </w:rPr>
      </w:pP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 xml:space="preserve">These crosses were done to see if the variation would increase the </w:t>
      </w:r>
      <w:r w:rsidRPr="0083059D">
        <w:rPr>
          <w:rFonts w:ascii="Book Antiqua" w:eastAsia="Times New Roman" w:hAnsi="Book Antiqua" w:cs="Arial"/>
          <w:color w:val="000000"/>
          <w:sz w:val="22"/>
          <w:szCs w:val="22"/>
        </w:rPr>
        <w:t>number</w:t>
      </w:r>
      <w:r w:rsidRPr="0028049F">
        <w:rPr>
          <w:rFonts w:ascii="Book Antiqua" w:eastAsia="Times New Roman" w:hAnsi="Book Antiqua" w:cs="Arial"/>
          <w:color w:val="000000"/>
          <w:sz w:val="22"/>
          <w:szCs w:val="22"/>
        </w:rPr>
        <w:t xml:space="preserve"> of petioles. In other words, is the trait dichotomous, or does the amount of trichomes in the offspring depend on the combined amount of trichomes of both parents. Hidden genetic variation could allow two parent plants with a lower number of trichomes to give offspring with a higher number. </w:t>
      </w:r>
    </w:p>
    <w:p w:rsidR="0028049F" w:rsidRPr="0028049F" w:rsidRDefault="0028049F" w:rsidP="0028049F">
      <w:pPr>
        <w:rPr>
          <w:rFonts w:ascii="Book Antiqua" w:eastAsia="Times New Roman" w:hAnsi="Book Antiqua" w:cs="Times New Roman"/>
        </w:rPr>
      </w:pP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Not to mention, the trichome density of a plant could be a result of the presence of herbivores in the environment of the parents, so that is another possibility for where the variation is coming from (3).</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color w:val="000000"/>
          <w:sz w:val="22"/>
          <w:szCs w:val="22"/>
        </w:rPr>
        <w:tab/>
        <w:t xml:space="preserve">The parent plants were put into pots individually once pollination was complete (1). Then, the plants received </w:t>
      </w:r>
      <w:r w:rsidRPr="0083059D">
        <w:rPr>
          <w:rFonts w:ascii="Book Antiqua" w:eastAsia="Times New Roman" w:hAnsi="Book Antiqua" w:cs="Arial"/>
          <w:color w:val="000000"/>
          <w:sz w:val="22"/>
          <w:szCs w:val="22"/>
        </w:rPr>
        <w:t>self-pollination</w:t>
      </w:r>
      <w:r w:rsidRPr="0028049F">
        <w:rPr>
          <w:rFonts w:ascii="Book Antiqua" w:eastAsia="Times New Roman" w:hAnsi="Book Antiqua" w:cs="Arial"/>
          <w:color w:val="000000"/>
          <w:sz w:val="22"/>
          <w:szCs w:val="22"/>
        </w:rPr>
        <w:t xml:space="preserve"> as a control (Plant F1.20), to make sure the plant cannot </w:t>
      </w:r>
      <w:r w:rsidRPr="0083059D">
        <w:rPr>
          <w:rFonts w:ascii="Book Antiqua" w:eastAsia="Times New Roman" w:hAnsi="Book Antiqua" w:cs="Arial"/>
          <w:color w:val="000000"/>
          <w:sz w:val="22"/>
          <w:szCs w:val="22"/>
        </w:rPr>
        <w:t>self-pollinate</w:t>
      </w:r>
      <w:r w:rsidRPr="0028049F">
        <w:rPr>
          <w:rFonts w:ascii="Book Antiqua" w:eastAsia="Times New Roman" w:hAnsi="Book Antiqua" w:cs="Arial"/>
          <w:color w:val="000000"/>
          <w:sz w:val="22"/>
          <w:szCs w:val="22"/>
        </w:rPr>
        <w:t>. Plant F1.20 showed no growth of seed pods.</w:t>
      </w:r>
    </w:p>
    <w:p w:rsidR="0028049F" w:rsidRPr="0028049F" w:rsidRDefault="0028049F" w:rsidP="0028049F">
      <w:pPr>
        <w:rPr>
          <w:rFonts w:ascii="Book Antiqua" w:eastAsia="Times New Roman" w:hAnsi="Book Antiqua" w:cs="Times New Roman"/>
        </w:rPr>
      </w:pPr>
    </w:p>
    <w:p w:rsidR="0028049F" w:rsidRPr="0083059D" w:rsidRDefault="0028049F" w:rsidP="0028049F">
      <w:pPr>
        <w:keepNext/>
        <w:jc w:val="center"/>
        <w:rPr>
          <w:rFonts w:ascii="Book Antiqua" w:hAnsi="Book Antiqua"/>
        </w:rPr>
      </w:pPr>
      <w:r w:rsidRPr="0028049F">
        <w:rPr>
          <w:rFonts w:ascii="Book Antiqua" w:eastAsia="Times New Roman" w:hAnsi="Book Antiqua" w:cs="Arial"/>
          <w:color w:val="000000"/>
          <w:sz w:val="22"/>
          <w:szCs w:val="22"/>
        </w:rPr>
        <w:lastRenderedPageBreak/>
        <w:fldChar w:fldCharType="begin"/>
      </w:r>
      <w:r w:rsidRPr="0028049F">
        <w:rPr>
          <w:rFonts w:ascii="Book Antiqua" w:eastAsia="Times New Roman" w:hAnsi="Book Antiqua" w:cs="Arial"/>
          <w:color w:val="000000"/>
          <w:sz w:val="22"/>
          <w:szCs w:val="22"/>
        </w:rPr>
        <w:instrText xml:space="preserve"> INCLUDEPICTURE "https://lh4.googleusercontent.com/CGXogh6nzSjYUMJAiF32g0z0x1wSsMlkYHLiHwgssc7o1_PPWe-b3mUuIwl4fHUoLkm14bE-BRF6eGvqUPhr-Z8cJ94nWPmQiJ2XkUrMceP3FWJ5hMLHFtE3kXOARXhyTAickwB1"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1707855" cy="2286000"/>
            <wp:effectExtent l="0" t="0" r="0" b="0"/>
            <wp:docPr id="2" name="Picture 2" descr="https://lh4.googleusercontent.com/CGXogh6nzSjYUMJAiF32g0z0x1wSsMlkYHLiHwgssc7o1_PPWe-b3mUuIwl4fHUoLkm14bE-BRF6eGvqUPhr-Z8cJ94nWPmQiJ2XkUrMceP3FWJ5hMLHFtE3kXOARXhyTAickw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GXogh6nzSjYUMJAiF32g0z0x1wSsMlkYHLiHwgssc7o1_PPWe-b3mUuIwl4fHUoLkm14bE-BRF6eGvqUPhr-Z8cJ94nWPmQiJ2XkUrMceP3FWJ5hMLHFtE3kXOARXhyTAickw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134" cy="2287712"/>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83059D" w:rsidRDefault="0028049F" w:rsidP="0028049F">
      <w:pPr>
        <w:pStyle w:val="Caption"/>
        <w:jc w:val="center"/>
        <w:rPr>
          <w:rFonts w:ascii="Book Antiqua" w:hAnsi="Book Antiqua"/>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5</w:t>
      </w:r>
      <w:r w:rsidRPr="0083059D">
        <w:rPr>
          <w:rFonts w:ascii="Book Antiqua" w:hAnsi="Book Antiqua"/>
        </w:rPr>
        <w:fldChar w:fldCharType="end"/>
      </w:r>
      <w:r w:rsidRPr="0083059D">
        <w:rPr>
          <w:rFonts w:ascii="Book Antiqua" w:hAnsi="Book Antiqua"/>
        </w:rPr>
        <w:t>. The seed pods developed over a two-week time period in the plants which were pollenated.</w:t>
      </w:r>
    </w:p>
    <w:p w:rsidR="0028049F" w:rsidRPr="0083059D" w:rsidRDefault="0028049F" w:rsidP="0028049F">
      <w:pPr>
        <w:keepNext/>
        <w:jc w:val="center"/>
        <w:rPr>
          <w:rFonts w:ascii="Book Antiqua" w:hAnsi="Book Antiqua"/>
        </w:rPr>
      </w:pPr>
      <w:r w:rsidRPr="0028049F">
        <w:rPr>
          <w:rFonts w:ascii="Book Antiqua" w:eastAsia="Times New Roman" w:hAnsi="Book Antiqua" w:cs="Arial"/>
          <w:color w:val="000000"/>
          <w:sz w:val="22"/>
          <w:szCs w:val="22"/>
        </w:rPr>
        <w:fldChar w:fldCharType="begin"/>
      </w:r>
      <w:r w:rsidRPr="0028049F">
        <w:rPr>
          <w:rFonts w:ascii="Book Antiqua" w:eastAsia="Times New Roman" w:hAnsi="Book Antiqua" w:cs="Arial"/>
          <w:color w:val="000000"/>
          <w:sz w:val="22"/>
          <w:szCs w:val="22"/>
        </w:rPr>
        <w:instrText xml:space="preserve"> INCLUDEPICTURE "https://lh6.googleusercontent.com/vveofATuk2kCbXoPZla_srS_pN6PjgN80lvrFgXFd_38VzSy-IN75JmhgB4i_kJVj7ylpz3CO5hI_xvYUiYePCQ1gZOqEXq4VHgX5SWPEx7G86zHLRb4-cjAa36ELvwt1lAHUxx5" \* MERGEFORMATINET </w:instrText>
      </w:r>
      <w:r w:rsidRPr="0028049F">
        <w:rPr>
          <w:rFonts w:ascii="Book Antiqua" w:eastAsia="Times New Roman" w:hAnsi="Book Antiqua" w:cs="Arial"/>
          <w:color w:val="000000"/>
          <w:sz w:val="22"/>
          <w:szCs w:val="22"/>
        </w:rPr>
        <w:fldChar w:fldCharType="separate"/>
      </w:r>
      <w:r w:rsidRPr="0083059D">
        <w:rPr>
          <w:rFonts w:ascii="Book Antiqua" w:eastAsia="Times New Roman" w:hAnsi="Book Antiqua" w:cs="Arial"/>
          <w:noProof/>
          <w:color w:val="000000"/>
          <w:sz w:val="22"/>
          <w:szCs w:val="22"/>
        </w:rPr>
        <w:drawing>
          <wp:inline distT="0" distB="0" distL="0" distR="0">
            <wp:extent cx="1785694" cy="2273300"/>
            <wp:effectExtent l="0" t="0" r="5080" b="0"/>
            <wp:docPr id="1" name="Picture 1" descr="https://lh6.googleusercontent.com/vveofATuk2kCbXoPZla_srS_pN6PjgN80lvrFgXFd_38VzSy-IN75JmhgB4i_kJVj7ylpz3CO5hI_xvYUiYePCQ1gZOqEXq4VHgX5SWPEx7G86zHLRb4-cjAa36ELvwt1lAHUx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vveofATuk2kCbXoPZla_srS_pN6PjgN80lvrFgXFd_38VzSy-IN75JmhgB4i_kJVj7ylpz3CO5hI_xvYUiYePCQ1gZOqEXq4VHgX5SWPEx7G86zHLRb4-cjAa36ELvwt1lAHUxx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719" cy="2292427"/>
                    </a:xfrm>
                    <a:prstGeom prst="rect">
                      <a:avLst/>
                    </a:prstGeom>
                    <a:noFill/>
                    <a:ln>
                      <a:noFill/>
                    </a:ln>
                  </pic:spPr>
                </pic:pic>
              </a:graphicData>
            </a:graphic>
          </wp:inline>
        </w:drawing>
      </w:r>
      <w:r w:rsidRPr="0028049F">
        <w:rPr>
          <w:rFonts w:ascii="Book Antiqua" w:eastAsia="Times New Roman" w:hAnsi="Book Antiqua" w:cs="Arial"/>
          <w:color w:val="000000"/>
          <w:sz w:val="22"/>
          <w:szCs w:val="22"/>
        </w:rPr>
        <w:fldChar w:fldCharType="end"/>
      </w:r>
    </w:p>
    <w:p w:rsidR="0028049F" w:rsidRPr="0028049F" w:rsidRDefault="0028049F" w:rsidP="0028049F">
      <w:pPr>
        <w:pStyle w:val="Caption"/>
        <w:jc w:val="center"/>
        <w:rPr>
          <w:rFonts w:ascii="Book Antiqua" w:eastAsia="Times New Roman" w:hAnsi="Book Antiqua" w:cs="Times New Roman"/>
        </w:rPr>
      </w:pPr>
      <w:r w:rsidRPr="0083059D">
        <w:rPr>
          <w:rFonts w:ascii="Book Antiqua" w:hAnsi="Book Antiqua"/>
        </w:rPr>
        <w:t xml:space="preserve">Figure </w:t>
      </w:r>
      <w:r w:rsidRPr="0083059D">
        <w:rPr>
          <w:rFonts w:ascii="Book Antiqua" w:hAnsi="Book Antiqua"/>
        </w:rPr>
        <w:fldChar w:fldCharType="begin"/>
      </w:r>
      <w:r w:rsidRPr="0083059D">
        <w:rPr>
          <w:rFonts w:ascii="Book Antiqua" w:hAnsi="Book Antiqua"/>
        </w:rPr>
        <w:instrText xml:space="preserve"> SEQ Figure \* ARABIC </w:instrText>
      </w:r>
      <w:r w:rsidRPr="0083059D">
        <w:rPr>
          <w:rFonts w:ascii="Book Antiqua" w:hAnsi="Book Antiqua"/>
        </w:rPr>
        <w:fldChar w:fldCharType="separate"/>
      </w:r>
      <w:r w:rsidRPr="0083059D">
        <w:rPr>
          <w:rFonts w:ascii="Book Antiqua" w:hAnsi="Book Antiqua"/>
          <w:noProof/>
        </w:rPr>
        <w:t>6</w:t>
      </w:r>
      <w:r w:rsidRPr="0083059D">
        <w:rPr>
          <w:rFonts w:ascii="Book Antiqua" w:hAnsi="Book Antiqua"/>
        </w:rPr>
        <w:fldChar w:fldCharType="end"/>
      </w:r>
      <w:r w:rsidRPr="0083059D">
        <w:rPr>
          <w:rFonts w:ascii="Book Antiqua" w:hAnsi="Book Antiqua"/>
        </w:rPr>
        <w:t>. The seed pods were harvested slightly too soon, and the funiculi were still attached to each developing seed. They were all harvested at the same time, in order to keep an aspect of control, but none of them ended up showing any growth after 1 week.</w:t>
      </w: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color w:val="000000"/>
          <w:sz w:val="22"/>
          <w:szCs w:val="22"/>
        </w:rPr>
        <w:tab/>
        <w:t xml:space="preserve">The three treatment groups for the different traits were laid out in new trays, and randomly assorted in their own film canisters, and run in triplicate. </w:t>
      </w:r>
    </w:p>
    <w:p w:rsidR="0028049F" w:rsidRPr="0028049F" w:rsidRDefault="0028049F" w:rsidP="0028049F">
      <w:pPr>
        <w:rPr>
          <w:rFonts w:ascii="Book Antiqua" w:eastAsia="Times New Roman" w:hAnsi="Book Antiqua" w:cs="Times New Roman"/>
        </w:rPr>
      </w:pP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 xml:space="preserve">Unfortunately, when the seeds were actually harvested from the different plants that were bred together, they were harvested prematurely, and none of the seeds ended up growing. </w:t>
      </w:r>
      <w:r w:rsidRPr="0083059D">
        <w:rPr>
          <w:rFonts w:ascii="Book Antiqua" w:eastAsia="Times New Roman" w:hAnsi="Book Antiqua" w:cs="Arial"/>
          <w:color w:val="000000"/>
          <w:sz w:val="22"/>
          <w:szCs w:val="22"/>
        </w:rPr>
        <w:t xml:space="preserve">This can be seen in Figure 6. </w:t>
      </w:r>
      <w:r w:rsidRPr="0028049F">
        <w:rPr>
          <w:rFonts w:ascii="Book Antiqua" w:eastAsia="Times New Roman" w:hAnsi="Book Antiqua" w:cs="Arial"/>
          <w:color w:val="000000"/>
          <w:sz w:val="22"/>
          <w:szCs w:val="22"/>
        </w:rPr>
        <w:t>They had not yet entered the vegetative state (as was discussed in lecture) so the cotyledons were not ready to sprout out of the seed</w:t>
      </w:r>
      <w:r w:rsidR="002204C2">
        <w:rPr>
          <w:rFonts w:ascii="Book Antiqua" w:eastAsia="Times New Roman" w:hAnsi="Book Antiqua" w:cs="Arial"/>
          <w:color w:val="000000"/>
          <w:sz w:val="22"/>
          <w:szCs w:val="22"/>
        </w:rPr>
        <w:t>. The time constraint of an experiment for a 1 semester class did not help.</w:t>
      </w:r>
    </w:p>
    <w:p w:rsidR="0028049F" w:rsidRPr="0028049F" w:rsidRDefault="0028049F" w:rsidP="0028049F">
      <w:pPr>
        <w:rPr>
          <w:rFonts w:ascii="Book Antiqua" w:eastAsia="Times New Roman" w:hAnsi="Book Antiqua" w:cs="Times New Roman"/>
        </w:rPr>
      </w:pPr>
    </w:p>
    <w:p w:rsidR="0028049F" w:rsidRPr="0083059D"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It is hard to tell how this study would have turned out, and if the selective pressure really would have rendered a higher trichome density in subsequent generations.</w:t>
      </w:r>
    </w:p>
    <w:p w:rsidR="0028049F" w:rsidRPr="0028049F" w:rsidRDefault="0028049F" w:rsidP="0028049F">
      <w:pPr>
        <w:ind w:firstLine="720"/>
        <w:rPr>
          <w:rFonts w:ascii="Book Antiqua" w:eastAsia="Times New Roman" w:hAnsi="Book Antiqua" w:cs="Times New Roman"/>
        </w:rPr>
      </w:pPr>
      <w:bookmarkStart w:id="0" w:name="_GoBack"/>
      <w:bookmarkEnd w:id="0"/>
    </w:p>
    <w:p w:rsidR="0028049F" w:rsidRPr="0028049F" w:rsidRDefault="0028049F" w:rsidP="0028049F">
      <w:pPr>
        <w:shd w:val="clear" w:color="auto" w:fill="FFFFFF"/>
        <w:spacing w:after="260"/>
        <w:ind w:firstLine="720"/>
        <w:outlineLvl w:val="0"/>
        <w:rPr>
          <w:rFonts w:ascii="Book Antiqua" w:eastAsia="Times New Roman" w:hAnsi="Book Antiqua" w:cs="Times New Roman"/>
          <w:b/>
          <w:bCs/>
          <w:kern w:val="36"/>
          <w:sz w:val="48"/>
          <w:szCs w:val="48"/>
        </w:rPr>
      </w:pPr>
      <w:r w:rsidRPr="0028049F">
        <w:rPr>
          <w:rFonts w:ascii="Book Antiqua" w:eastAsia="Times New Roman" w:hAnsi="Book Antiqua" w:cs="Arial"/>
          <w:color w:val="333333"/>
          <w:kern w:val="36"/>
          <w:sz w:val="22"/>
          <w:szCs w:val="22"/>
        </w:rPr>
        <w:t xml:space="preserve">Differential Induction of Trichomes by Three Herbivores of Black Mustard by M. Brian </w:t>
      </w:r>
      <w:proofErr w:type="spellStart"/>
      <w:r w:rsidRPr="0028049F">
        <w:rPr>
          <w:rFonts w:ascii="Book Antiqua" w:eastAsia="Times New Roman" w:hAnsi="Book Antiqua" w:cs="Arial"/>
          <w:color w:val="333333"/>
          <w:kern w:val="36"/>
          <w:sz w:val="22"/>
          <w:szCs w:val="22"/>
        </w:rPr>
        <w:t>Traw</w:t>
      </w:r>
      <w:proofErr w:type="spellEnd"/>
      <w:r w:rsidRPr="0028049F">
        <w:rPr>
          <w:rFonts w:ascii="Book Antiqua" w:eastAsia="Times New Roman" w:hAnsi="Book Antiqua" w:cs="Arial"/>
          <w:color w:val="333333"/>
          <w:kern w:val="36"/>
          <w:sz w:val="22"/>
          <w:szCs w:val="22"/>
        </w:rPr>
        <w:t xml:space="preserve"> and Todd E. Dawson talks about the differentiation of </w:t>
      </w:r>
      <w:r w:rsidRPr="0028049F">
        <w:rPr>
          <w:rFonts w:ascii="Book Antiqua" w:eastAsia="Times New Roman" w:hAnsi="Book Antiqua" w:cs="Arial"/>
          <w:i/>
          <w:color w:val="333333"/>
          <w:kern w:val="36"/>
          <w:sz w:val="22"/>
          <w:szCs w:val="22"/>
        </w:rPr>
        <w:t xml:space="preserve">Brassica </w:t>
      </w:r>
      <w:proofErr w:type="spellStart"/>
      <w:r w:rsidRPr="0028049F">
        <w:rPr>
          <w:rFonts w:ascii="Book Antiqua" w:eastAsia="Times New Roman" w:hAnsi="Book Antiqua" w:cs="Arial"/>
          <w:i/>
          <w:color w:val="333333"/>
          <w:kern w:val="36"/>
          <w:sz w:val="22"/>
          <w:szCs w:val="22"/>
        </w:rPr>
        <w:t>nigra</w:t>
      </w:r>
      <w:proofErr w:type="spellEnd"/>
      <w:r w:rsidRPr="0028049F">
        <w:rPr>
          <w:rFonts w:ascii="Book Antiqua" w:eastAsia="Times New Roman" w:hAnsi="Book Antiqua" w:cs="Arial"/>
          <w:color w:val="333333"/>
          <w:kern w:val="36"/>
          <w:sz w:val="22"/>
          <w:szCs w:val="22"/>
        </w:rPr>
        <w:t xml:space="preserve"> in response to different herbivores. It measured the </w:t>
      </w:r>
      <w:proofErr w:type="spellStart"/>
      <w:r w:rsidRPr="0028049F">
        <w:rPr>
          <w:rFonts w:ascii="Book Antiqua" w:eastAsia="Times New Roman" w:hAnsi="Book Antiqua" w:cs="Arial"/>
          <w:color w:val="333333"/>
          <w:kern w:val="36"/>
          <w:sz w:val="22"/>
          <w:szCs w:val="22"/>
        </w:rPr>
        <w:t>sinigrin</w:t>
      </w:r>
      <w:proofErr w:type="spellEnd"/>
      <w:r w:rsidRPr="0028049F">
        <w:rPr>
          <w:rFonts w:ascii="Book Antiqua" w:eastAsia="Times New Roman" w:hAnsi="Book Antiqua" w:cs="Arial"/>
          <w:color w:val="333333"/>
          <w:kern w:val="36"/>
          <w:sz w:val="22"/>
          <w:szCs w:val="22"/>
        </w:rPr>
        <w:t xml:space="preserve"> concentration and the leaf trichome density (3). This paper shows that the trichomes on the leaves can be dictated by environmental or biotic factors, rather than just being hereditary in nature (3).</w:t>
      </w:r>
    </w:p>
    <w:p w:rsidR="0028049F" w:rsidRPr="0028049F" w:rsidRDefault="0028049F" w:rsidP="0028049F">
      <w:pPr>
        <w:ind w:firstLine="720"/>
        <w:rPr>
          <w:rFonts w:ascii="Book Antiqua" w:eastAsia="Times New Roman" w:hAnsi="Book Antiqua" w:cs="Times New Roman"/>
        </w:rPr>
      </w:pPr>
      <w:r w:rsidRPr="0028049F">
        <w:rPr>
          <w:rFonts w:ascii="Book Antiqua" w:eastAsia="Times New Roman" w:hAnsi="Book Antiqua" w:cs="Arial"/>
          <w:color w:val="000000"/>
          <w:sz w:val="22"/>
          <w:szCs w:val="22"/>
        </w:rPr>
        <w:t>However, another paper that was published in June of this year describes the relationship of a gene (</w:t>
      </w:r>
      <w:proofErr w:type="spellStart"/>
      <w:r w:rsidRPr="0028049F">
        <w:rPr>
          <w:rFonts w:ascii="Book Antiqua" w:eastAsia="Times New Roman" w:hAnsi="Book Antiqua" w:cs="Arial"/>
          <w:i/>
          <w:iCs/>
          <w:color w:val="000000"/>
          <w:sz w:val="22"/>
          <w:szCs w:val="22"/>
        </w:rPr>
        <w:t>nsLTP</w:t>
      </w:r>
      <w:proofErr w:type="spellEnd"/>
      <w:r w:rsidRPr="0028049F">
        <w:rPr>
          <w:rFonts w:ascii="Book Antiqua" w:eastAsia="Times New Roman" w:hAnsi="Book Antiqua" w:cs="Arial"/>
          <w:color w:val="000000"/>
          <w:sz w:val="22"/>
          <w:szCs w:val="22"/>
        </w:rPr>
        <w:t xml:space="preserve">) and trichome density in a different </w:t>
      </w:r>
      <w:r w:rsidRPr="0028049F">
        <w:rPr>
          <w:rFonts w:ascii="Book Antiqua" w:eastAsia="Times New Roman" w:hAnsi="Book Antiqua" w:cs="Arial"/>
          <w:i/>
          <w:color w:val="000000"/>
          <w:sz w:val="22"/>
          <w:szCs w:val="22"/>
        </w:rPr>
        <w:t>Brassica</w:t>
      </w:r>
      <w:r w:rsidRPr="0028049F">
        <w:rPr>
          <w:rFonts w:ascii="Book Antiqua" w:eastAsia="Times New Roman" w:hAnsi="Book Antiqua" w:cs="Arial"/>
          <w:color w:val="000000"/>
          <w:sz w:val="22"/>
          <w:szCs w:val="22"/>
        </w:rPr>
        <w:t xml:space="preserve"> species. This paper shows that we can indeed selectively breed this species to have a certain amount of trichomes. If the budget were bigger, and </w:t>
      </w:r>
      <w:r w:rsidRPr="0083059D">
        <w:rPr>
          <w:rFonts w:ascii="Book Antiqua" w:eastAsia="Times New Roman" w:hAnsi="Book Antiqua" w:cs="Arial"/>
          <w:color w:val="000000"/>
          <w:sz w:val="22"/>
          <w:szCs w:val="22"/>
        </w:rPr>
        <w:t>with</w:t>
      </w:r>
      <w:r w:rsidRPr="0028049F">
        <w:rPr>
          <w:rFonts w:ascii="Book Antiqua" w:eastAsia="Times New Roman" w:hAnsi="Book Antiqua" w:cs="Arial"/>
          <w:color w:val="000000"/>
          <w:sz w:val="22"/>
          <w:szCs w:val="22"/>
        </w:rPr>
        <w:t xml:space="preserve"> less of a time constraint, we could </w:t>
      </w:r>
      <w:r w:rsidRPr="0083059D">
        <w:rPr>
          <w:rFonts w:ascii="Book Antiqua" w:eastAsia="Times New Roman" w:hAnsi="Book Antiqua" w:cs="Arial"/>
          <w:color w:val="000000"/>
          <w:sz w:val="22"/>
          <w:szCs w:val="22"/>
        </w:rPr>
        <w:t>experiment</w:t>
      </w:r>
      <w:r w:rsidRPr="0028049F">
        <w:rPr>
          <w:rFonts w:ascii="Book Antiqua" w:eastAsia="Times New Roman" w:hAnsi="Book Antiqua" w:cs="Arial"/>
          <w:color w:val="000000"/>
          <w:sz w:val="22"/>
          <w:szCs w:val="22"/>
        </w:rPr>
        <w:t xml:space="preserve"> </w:t>
      </w:r>
      <w:r w:rsidRPr="0083059D">
        <w:rPr>
          <w:rFonts w:ascii="Book Antiqua" w:eastAsia="Times New Roman" w:hAnsi="Book Antiqua" w:cs="Arial"/>
          <w:color w:val="000000"/>
          <w:sz w:val="22"/>
          <w:szCs w:val="22"/>
        </w:rPr>
        <w:t>on</w:t>
      </w:r>
      <w:r w:rsidRPr="0028049F">
        <w:rPr>
          <w:rFonts w:ascii="Book Antiqua" w:eastAsia="Times New Roman" w:hAnsi="Book Antiqua" w:cs="Arial"/>
          <w:color w:val="000000"/>
          <w:sz w:val="22"/>
          <w:szCs w:val="22"/>
        </w:rPr>
        <w:t xml:space="preserve"> the expression of that gene based on </w:t>
      </w:r>
      <w:r w:rsidRPr="0083059D">
        <w:rPr>
          <w:rFonts w:ascii="Book Antiqua" w:eastAsia="Times New Roman" w:hAnsi="Book Antiqua" w:cs="Arial"/>
          <w:color w:val="000000"/>
          <w:sz w:val="22"/>
          <w:szCs w:val="22"/>
        </w:rPr>
        <w:t>breeding and</w:t>
      </w:r>
      <w:r w:rsidRPr="0028049F">
        <w:rPr>
          <w:rFonts w:ascii="Book Antiqua" w:eastAsia="Times New Roman" w:hAnsi="Book Antiqua" w:cs="Arial"/>
          <w:color w:val="000000"/>
          <w:sz w:val="22"/>
          <w:szCs w:val="22"/>
        </w:rPr>
        <w:t xml:space="preserve"> based on phenotypic plasticity (2).</w:t>
      </w:r>
    </w:p>
    <w:p w:rsidR="0028049F" w:rsidRPr="0028049F" w:rsidRDefault="0028049F" w:rsidP="0028049F">
      <w:pPr>
        <w:rPr>
          <w:rFonts w:ascii="Book Antiqua" w:eastAsia="Times New Roman" w:hAnsi="Book Antiqua" w:cs="Times New Roman"/>
        </w:rPr>
      </w:pPr>
    </w:p>
    <w:p w:rsidR="0028049F" w:rsidRPr="0028049F" w:rsidRDefault="0028049F" w:rsidP="0028049F">
      <w:pPr>
        <w:rPr>
          <w:rFonts w:ascii="Book Antiqua" w:eastAsia="Times New Roman" w:hAnsi="Book Antiqua" w:cs="Times New Roman"/>
        </w:rPr>
      </w:pPr>
      <w:r w:rsidRPr="0028049F">
        <w:rPr>
          <w:rFonts w:ascii="Book Antiqua" w:eastAsia="Times New Roman" w:hAnsi="Book Antiqua" w:cs="Arial"/>
          <w:b/>
          <w:bCs/>
          <w:color w:val="000000"/>
          <w:sz w:val="22"/>
          <w:szCs w:val="22"/>
        </w:rPr>
        <w:lastRenderedPageBreak/>
        <w:t>Literature Cited:</w:t>
      </w:r>
    </w:p>
    <w:p w:rsidR="0028049F" w:rsidRPr="0028049F" w:rsidRDefault="0028049F" w:rsidP="0028049F">
      <w:pPr>
        <w:rPr>
          <w:rFonts w:ascii="Book Antiqua" w:eastAsia="Times New Roman" w:hAnsi="Book Antiqua" w:cs="Times New Roman"/>
        </w:rPr>
      </w:pPr>
    </w:p>
    <w:p w:rsidR="0028049F" w:rsidRPr="0028049F" w:rsidRDefault="0028049F" w:rsidP="0028049F">
      <w:pPr>
        <w:numPr>
          <w:ilvl w:val="0"/>
          <w:numId w:val="1"/>
        </w:numPr>
        <w:shd w:val="clear" w:color="auto" w:fill="FFFFFF"/>
        <w:ind w:left="1440"/>
        <w:textAlignment w:val="baseline"/>
        <w:rPr>
          <w:rFonts w:ascii="Book Antiqua" w:eastAsia="Times New Roman" w:hAnsi="Book Antiqua" w:cs="Arial"/>
          <w:color w:val="333333"/>
          <w:sz w:val="22"/>
          <w:szCs w:val="22"/>
        </w:rPr>
      </w:pPr>
      <w:r w:rsidRPr="0028049F">
        <w:rPr>
          <w:rFonts w:ascii="Book Antiqua" w:eastAsia="Times New Roman" w:hAnsi="Book Antiqua" w:cs="Arial"/>
          <w:color w:val="222222"/>
          <w:sz w:val="22"/>
          <w:szCs w:val="22"/>
          <w:shd w:val="clear" w:color="auto" w:fill="FFFFFF"/>
        </w:rPr>
        <w:t>Mendel, J. G. (1866). "</w:t>
      </w:r>
      <w:proofErr w:type="spellStart"/>
      <w:r w:rsidRPr="0028049F">
        <w:rPr>
          <w:rFonts w:ascii="Book Antiqua" w:eastAsia="Times New Roman" w:hAnsi="Book Antiqua" w:cs="Arial"/>
          <w:color w:val="222222"/>
          <w:sz w:val="22"/>
          <w:szCs w:val="22"/>
          <w:shd w:val="clear" w:color="auto" w:fill="FFFFFF"/>
        </w:rPr>
        <w:t>Versuche</w:t>
      </w:r>
      <w:proofErr w:type="spellEnd"/>
      <w:r w:rsidRPr="0028049F">
        <w:rPr>
          <w:rFonts w:ascii="Book Antiqua" w:eastAsia="Times New Roman" w:hAnsi="Book Antiqua" w:cs="Arial"/>
          <w:color w:val="222222"/>
          <w:sz w:val="22"/>
          <w:szCs w:val="22"/>
          <w:shd w:val="clear" w:color="auto" w:fill="FFFFFF"/>
        </w:rPr>
        <w:t xml:space="preserve"> </w:t>
      </w:r>
      <w:proofErr w:type="spellStart"/>
      <w:r w:rsidRPr="0028049F">
        <w:rPr>
          <w:rFonts w:ascii="Book Antiqua" w:eastAsia="Times New Roman" w:hAnsi="Book Antiqua" w:cs="Arial"/>
          <w:color w:val="222222"/>
          <w:sz w:val="22"/>
          <w:szCs w:val="22"/>
          <w:shd w:val="clear" w:color="auto" w:fill="FFFFFF"/>
        </w:rPr>
        <w:t>über</w:t>
      </w:r>
      <w:proofErr w:type="spellEnd"/>
      <w:r w:rsidRPr="0028049F">
        <w:rPr>
          <w:rFonts w:ascii="Book Antiqua" w:eastAsia="Times New Roman" w:hAnsi="Book Antiqua" w:cs="Arial"/>
          <w:color w:val="222222"/>
          <w:sz w:val="22"/>
          <w:szCs w:val="22"/>
          <w:shd w:val="clear" w:color="auto" w:fill="FFFFFF"/>
        </w:rPr>
        <w:t xml:space="preserve"> </w:t>
      </w:r>
      <w:proofErr w:type="spellStart"/>
      <w:r w:rsidRPr="0028049F">
        <w:rPr>
          <w:rFonts w:ascii="Book Antiqua" w:eastAsia="Times New Roman" w:hAnsi="Book Antiqua" w:cs="Arial"/>
          <w:color w:val="222222"/>
          <w:sz w:val="22"/>
          <w:szCs w:val="22"/>
          <w:shd w:val="clear" w:color="auto" w:fill="FFFFFF"/>
        </w:rPr>
        <w:t>Pflanzenhybriden</w:t>
      </w:r>
      <w:proofErr w:type="spellEnd"/>
      <w:r w:rsidRPr="0028049F">
        <w:rPr>
          <w:rFonts w:ascii="Book Antiqua" w:eastAsia="Times New Roman" w:hAnsi="Book Antiqua" w:cs="Arial"/>
          <w:color w:val="222222"/>
          <w:sz w:val="22"/>
          <w:szCs w:val="22"/>
          <w:shd w:val="clear" w:color="auto" w:fill="FFFFFF"/>
        </w:rPr>
        <w:t xml:space="preserve">", </w:t>
      </w:r>
      <w:proofErr w:type="spellStart"/>
      <w:r w:rsidRPr="0028049F">
        <w:rPr>
          <w:rFonts w:ascii="Book Antiqua" w:eastAsia="Times New Roman" w:hAnsi="Book Antiqua" w:cs="Arial"/>
          <w:i/>
          <w:iCs/>
          <w:color w:val="222222"/>
          <w:sz w:val="22"/>
          <w:szCs w:val="22"/>
          <w:shd w:val="clear" w:color="auto" w:fill="FFFFFF"/>
        </w:rPr>
        <w:t>Verhandlungen</w:t>
      </w:r>
      <w:proofErr w:type="spellEnd"/>
      <w:r w:rsidRPr="0028049F">
        <w:rPr>
          <w:rFonts w:ascii="Book Antiqua" w:eastAsia="Times New Roman" w:hAnsi="Book Antiqua" w:cs="Arial"/>
          <w:i/>
          <w:iCs/>
          <w:color w:val="222222"/>
          <w:sz w:val="22"/>
          <w:szCs w:val="22"/>
          <w:shd w:val="clear" w:color="auto" w:fill="FFFFFF"/>
        </w:rPr>
        <w:t xml:space="preserve"> des </w:t>
      </w:r>
      <w:proofErr w:type="spellStart"/>
      <w:r w:rsidRPr="0028049F">
        <w:rPr>
          <w:rFonts w:ascii="Book Antiqua" w:eastAsia="Times New Roman" w:hAnsi="Book Antiqua" w:cs="Arial"/>
          <w:i/>
          <w:iCs/>
          <w:color w:val="222222"/>
          <w:sz w:val="22"/>
          <w:szCs w:val="22"/>
          <w:shd w:val="clear" w:color="auto" w:fill="FFFFFF"/>
        </w:rPr>
        <w:t>naturforschenden</w:t>
      </w:r>
      <w:proofErr w:type="spellEnd"/>
      <w:r w:rsidRPr="0028049F">
        <w:rPr>
          <w:rFonts w:ascii="Book Antiqua" w:eastAsia="Times New Roman" w:hAnsi="Book Antiqua" w:cs="Arial"/>
          <w:i/>
          <w:iCs/>
          <w:color w:val="222222"/>
          <w:sz w:val="22"/>
          <w:szCs w:val="22"/>
          <w:shd w:val="clear" w:color="auto" w:fill="FFFFFF"/>
        </w:rPr>
        <w:t xml:space="preserve"> </w:t>
      </w:r>
      <w:proofErr w:type="spellStart"/>
      <w:r w:rsidRPr="0028049F">
        <w:rPr>
          <w:rFonts w:ascii="Book Antiqua" w:eastAsia="Times New Roman" w:hAnsi="Book Antiqua" w:cs="Arial"/>
          <w:i/>
          <w:iCs/>
          <w:color w:val="222222"/>
          <w:sz w:val="22"/>
          <w:szCs w:val="22"/>
          <w:shd w:val="clear" w:color="auto" w:fill="FFFFFF"/>
        </w:rPr>
        <w:t>Vereines</w:t>
      </w:r>
      <w:proofErr w:type="spellEnd"/>
      <w:r w:rsidRPr="0028049F">
        <w:rPr>
          <w:rFonts w:ascii="Book Antiqua" w:eastAsia="Times New Roman" w:hAnsi="Book Antiqua" w:cs="Arial"/>
          <w:i/>
          <w:iCs/>
          <w:color w:val="222222"/>
          <w:sz w:val="22"/>
          <w:szCs w:val="22"/>
          <w:shd w:val="clear" w:color="auto" w:fill="FFFFFF"/>
        </w:rPr>
        <w:t xml:space="preserve"> in </w:t>
      </w:r>
      <w:proofErr w:type="spellStart"/>
      <w:r w:rsidRPr="0028049F">
        <w:rPr>
          <w:rFonts w:ascii="Book Antiqua" w:eastAsia="Times New Roman" w:hAnsi="Book Antiqua" w:cs="Arial"/>
          <w:i/>
          <w:iCs/>
          <w:color w:val="222222"/>
          <w:sz w:val="22"/>
          <w:szCs w:val="22"/>
          <w:shd w:val="clear" w:color="auto" w:fill="FFFFFF"/>
        </w:rPr>
        <w:t>Brünn</w:t>
      </w:r>
      <w:proofErr w:type="spellEnd"/>
      <w:r w:rsidRPr="0028049F">
        <w:rPr>
          <w:rFonts w:ascii="Book Antiqua" w:eastAsia="Times New Roman" w:hAnsi="Book Antiqua" w:cs="Arial"/>
          <w:color w:val="222222"/>
          <w:sz w:val="22"/>
          <w:szCs w:val="22"/>
          <w:shd w:val="clear" w:color="auto" w:fill="FFFFFF"/>
        </w:rPr>
        <w:t xml:space="preserve">, Bd. IV </w:t>
      </w:r>
      <w:proofErr w:type="spellStart"/>
      <w:r w:rsidRPr="0028049F">
        <w:rPr>
          <w:rFonts w:ascii="Book Antiqua" w:eastAsia="Times New Roman" w:hAnsi="Book Antiqua" w:cs="Arial"/>
          <w:color w:val="222222"/>
          <w:sz w:val="22"/>
          <w:szCs w:val="22"/>
          <w:shd w:val="clear" w:color="auto" w:fill="FFFFFF"/>
        </w:rPr>
        <w:t>für</w:t>
      </w:r>
      <w:proofErr w:type="spellEnd"/>
      <w:r w:rsidRPr="0028049F">
        <w:rPr>
          <w:rFonts w:ascii="Book Antiqua" w:eastAsia="Times New Roman" w:hAnsi="Book Antiqua" w:cs="Arial"/>
          <w:color w:val="222222"/>
          <w:sz w:val="22"/>
          <w:szCs w:val="22"/>
          <w:shd w:val="clear" w:color="auto" w:fill="FFFFFF"/>
        </w:rPr>
        <w:t xml:space="preserve"> das </w:t>
      </w:r>
      <w:proofErr w:type="spellStart"/>
      <w:r w:rsidRPr="0028049F">
        <w:rPr>
          <w:rFonts w:ascii="Book Antiqua" w:eastAsia="Times New Roman" w:hAnsi="Book Antiqua" w:cs="Arial"/>
          <w:color w:val="222222"/>
          <w:sz w:val="22"/>
          <w:szCs w:val="22"/>
          <w:shd w:val="clear" w:color="auto" w:fill="FFFFFF"/>
        </w:rPr>
        <w:t>Jahr</w:t>
      </w:r>
      <w:proofErr w:type="spellEnd"/>
      <w:r w:rsidRPr="0028049F">
        <w:rPr>
          <w:rFonts w:ascii="Book Antiqua" w:eastAsia="Times New Roman" w:hAnsi="Book Antiqua" w:cs="Arial"/>
          <w:color w:val="222222"/>
          <w:sz w:val="22"/>
          <w:szCs w:val="22"/>
          <w:shd w:val="clear" w:color="auto" w:fill="FFFFFF"/>
        </w:rPr>
        <w:t xml:space="preserve">, 1865, </w:t>
      </w:r>
      <w:proofErr w:type="spellStart"/>
      <w:r w:rsidRPr="0028049F">
        <w:rPr>
          <w:rFonts w:ascii="Book Antiqua" w:eastAsia="Times New Roman" w:hAnsi="Book Antiqua" w:cs="Arial"/>
          <w:i/>
          <w:iCs/>
          <w:color w:val="222222"/>
          <w:sz w:val="22"/>
          <w:szCs w:val="22"/>
          <w:shd w:val="clear" w:color="auto" w:fill="FFFFFF"/>
        </w:rPr>
        <w:t>Abhandlungen</w:t>
      </w:r>
      <w:proofErr w:type="spellEnd"/>
      <w:r w:rsidRPr="0028049F">
        <w:rPr>
          <w:rFonts w:ascii="Book Antiqua" w:eastAsia="Times New Roman" w:hAnsi="Book Antiqua" w:cs="Arial"/>
          <w:color w:val="222222"/>
          <w:sz w:val="22"/>
          <w:szCs w:val="22"/>
          <w:shd w:val="clear" w:color="auto" w:fill="FFFFFF"/>
        </w:rPr>
        <w:t>: 3–47. 16 October 2018.</w:t>
      </w:r>
    </w:p>
    <w:p w:rsidR="0028049F" w:rsidRPr="0028049F" w:rsidRDefault="0028049F" w:rsidP="0028049F">
      <w:pPr>
        <w:numPr>
          <w:ilvl w:val="0"/>
          <w:numId w:val="1"/>
        </w:numPr>
        <w:shd w:val="clear" w:color="auto" w:fill="FFFFFF"/>
        <w:ind w:left="1440"/>
        <w:textAlignment w:val="baseline"/>
        <w:rPr>
          <w:rFonts w:ascii="Book Antiqua" w:eastAsia="Times New Roman" w:hAnsi="Book Antiqua" w:cs="Arial"/>
          <w:color w:val="222222"/>
          <w:sz w:val="22"/>
          <w:szCs w:val="22"/>
        </w:rPr>
      </w:pPr>
      <w:proofErr w:type="spellStart"/>
      <w:r w:rsidRPr="0028049F">
        <w:rPr>
          <w:rFonts w:ascii="Book Antiqua" w:eastAsia="Times New Roman" w:hAnsi="Book Antiqua" w:cs="Arial"/>
          <w:color w:val="222222"/>
          <w:sz w:val="22"/>
          <w:szCs w:val="22"/>
          <w:shd w:val="clear" w:color="auto" w:fill="FFFFFF"/>
        </w:rPr>
        <w:t>Nini</w:t>
      </w:r>
      <w:proofErr w:type="spellEnd"/>
      <w:r w:rsidRPr="0028049F">
        <w:rPr>
          <w:rFonts w:ascii="Book Antiqua" w:eastAsia="Times New Roman" w:hAnsi="Book Antiqua" w:cs="Arial"/>
          <w:color w:val="222222"/>
          <w:sz w:val="22"/>
          <w:szCs w:val="22"/>
          <w:shd w:val="clear" w:color="auto" w:fill="FFFFFF"/>
        </w:rPr>
        <w:t xml:space="preserve"> Tian, et al. (2018). Overexpression of BraLTP2, a Lipid Transfer Protein of Brassica </w:t>
      </w:r>
      <w:proofErr w:type="spellStart"/>
      <w:r w:rsidRPr="0028049F">
        <w:rPr>
          <w:rFonts w:ascii="Book Antiqua" w:eastAsia="Times New Roman" w:hAnsi="Book Antiqua" w:cs="Arial"/>
          <w:color w:val="222222"/>
          <w:sz w:val="22"/>
          <w:szCs w:val="22"/>
          <w:shd w:val="clear" w:color="auto" w:fill="FFFFFF"/>
        </w:rPr>
        <w:t>napus</w:t>
      </w:r>
      <w:proofErr w:type="spellEnd"/>
      <w:r w:rsidRPr="0028049F">
        <w:rPr>
          <w:rFonts w:ascii="Book Antiqua" w:eastAsia="Times New Roman" w:hAnsi="Book Antiqua" w:cs="Arial"/>
          <w:color w:val="222222"/>
          <w:sz w:val="22"/>
          <w:szCs w:val="22"/>
          <w:shd w:val="clear" w:color="auto" w:fill="FFFFFF"/>
        </w:rPr>
        <w:t xml:space="preserve">, Results in Increased Trichome Density and Altered Concentration of Secondary Metabolites. </w:t>
      </w:r>
      <w:r w:rsidRPr="0028049F">
        <w:rPr>
          <w:rFonts w:ascii="Book Antiqua" w:eastAsia="Times New Roman" w:hAnsi="Book Antiqua" w:cs="Arial"/>
          <w:i/>
          <w:iCs/>
          <w:color w:val="222222"/>
          <w:sz w:val="22"/>
          <w:szCs w:val="22"/>
          <w:shd w:val="clear" w:color="auto" w:fill="FFFFFF"/>
        </w:rPr>
        <w:t xml:space="preserve">International Journal of Molecular Sciences, 19(6), </w:t>
      </w:r>
      <w:r w:rsidRPr="0028049F">
        <w:rPr>
          <w:rFonts w:ascii="Book Antiqua" w:eastAsia="Times New Roman" w:hAnsi="Book Antiqua" w:cs="Arial"/>
          <w:color w:val="222222"/>
          <w:sz w:val="22"/>
          <w:szCs w:val="22"/>
          <w:shd w:val="clear" w:color="auto" w:fill="FFFFFF"/>
        </w:rPr>
        <w:t>1-22. 16 October 2018.</w:t>
      </w:r>
    </w:p>
    <w:p w:rsidR="0028049F" w:rsidRPr="0028049F" w:rsidRDefault="0028049F" w:rsidP="0028049F">
      <w:pPr>
        <w:numPr>
          <w:ilvl w:val="0"/>
          <w:numId w:val="1"/>
        </w:numPr>
        <w:shd w:val="clear" w:color="auto" w:fill="FFFFFF"/>
        <w:ind w:left="1440"/>
        <w:textAlignment w:val="baseline"/>
        <w:rPr>
          <w:rFonts w:ascii="Book Antiqua" w:eastAsia="Times New Roman" w:hAnsi="Book Antiqua" w:cs="Arial"/>
          <w:color w:val="333333"/>
          <w:sz w:val="22"/>
          <w:szCs w:val="22"/>
        </w:rPr>
      </w:pPr>
      <w:proofErr w:type="spellStart"/>
      <w:r w:rsidRPr="0028049F">
        <w:rPr>
          <w:rFonts w:ascii="Book Antiqua" w:eastAsia="Times New Roman" w:hAnsi="Book Antiqua" w:cs="Arial"/>
          <w:color w:val="333333"/>
          <w:sz w:val="22"/>
          <w:szCs w:val="22"/>
          <w:shd w:val="clear" w:color="auto" w:fill="FFFFFF"/>
        </w:rPr>
        <w:t>Traw</w:t>
      </w:r>
      <w:proofErr w:type="spellEnd"/>
      <w:r w:rsidRPr="0028049F">
        <w:rPr>
          <w:rFonts w:ascii="Book Antiqua" w:eastAsia="Times New Roman" w:hAnsi="Book Antiqua" w:cs="Arial"/>
          <w:color w:val="333333"/>
          <w:sz w:val="22"/>
          <w:szCs w:val="22"/>
          <w:shd w:val="clear" w:color="auto" w:fill="FFFFFF"/>
        </w:rPr>
        <w:t xml:space="preserve">, M., &amp; Dawson, T. (2002). Differential Induction of Trichomes by Three Herbivores of Black Mustard. </w:t>
      </w:r>
      <w:proofErr w:type="spellStart"/>
      <w:r w:rsidRPr="0028049F">
        <w:rPr>
          <w:rFonts w:ascii="Book Antiqua" w:eastAsia="Times New Roman" w:hAnsi="Book Antiqua" w:cs="Arial"/>
          <w:i/>
          <w:iCs/>
          <w:color w:val="333333"/>
          <w:sz w:val="22"/>
          <w:szCs w:val="22"/>
          <w:shd w:val="clear" w:color="auto" w:fill="FFFFFF"/>
        </w:rPr>
        <w:t>Oecologia</w:t>
      </w:r>
      <w:proofErr w:type="spellEnd"/>
      <w:r w:rsidRPr="0028049F">
        <w:rPr>
          <w:rFonts w:ascii="Book Antiqua" w:eastAsia="Times New Roman" w:hAnsi="Book Antiqua" w:cs="Arial"/>
          <w:i/>
          <w:iCs/>
          <w:color w:val="333333"/>
          <w:sz w:val="22"/>
          <w:szCs w:val="22"/>
          <w:shd w:val="clear" w:color="auto" w:fill="FFFFFF"/>
        </w:rPr>
        <w:t>,</w:t>
      </w:r>
      <w:r w:rsidRPr="0028049F">
        <w:rPr>
          <w:rFonts w:ascii="Book Antiqua" w:eastAsia="Times New Roman" w:hAnsi="Book Antiqua" w:cs="Arial"/>
          <w:color w:val="333333"/>
          <w:sz w:val="22"/>
          <w:szCs w:val="22"/>
          <w:shd w:val="clear" w:color="auto" w:fill="FFFFFF"/>
        </w:rPr>
        <w:t xml:space="preserve"> </w:t>
      </w:r>
      <w:r w:rsidRPr="0028049F">
        <w:rPr>
          <w:rFonts w:ascii="Book Antiqua" w:eastAsia="Times New Roman" w:hAnsi="Book Antiqua" w:cs="Arial"/>
          <w:i/>
          <w:iCs/>
          <w:color w:val="333333"/>
          <w:sz w:val="22"/>
          <w:szCs w:val="22"/>
          <w:shd w:val="clear" w:color="auto" w:fill="FFFFFF"/>
        </w:rPr>
        <w:t>131</w:t>
      </w:r>
      <w:r w:rsidRPr="0028049F">
        <w:rPr>
          <w:rFonts w:ascii="Book Antiqua" w:eastAsia="Times New Roman" w:hAnsi="Book Antiqua" w:cs="Arial"/>
          <w:color w:val="333333"/>
          <w:sz w:val="22"/>
          <w:szCs w:val="22"/>
          <w:shd w:val="clear" w:color="auto" w:fill="FFFFFF"/>
        </w:rPr>
        <w:t>(4), 526-532. 16 October 2018.</w:t>
      </w:r>
    </w:p>
    <w:p w:rsidR="0004601C" w:rsidRPr="0083059D" w:rsidRDefault="002204C2">
      <w:pPr>
        <w:rPr>
          <w:rFonts w:ascii="Book Antiqua" w:hAnsi="Book Antiqua"/>
        </w:rPr>
      </w:pPr>
    </w:p>
    <w:sectPr w:rsidR="0004601C" w:rsidRPr="0083059D" w:rsidSect="002804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351C3A"/>
    <w:multiLevelType w:val="multilevel"/>
    <w:tmpl w:val="03088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9F"/>
    <w:rsid w:val="001F3631"/>
    <w:rsid w:val="002204C2"/>
    <w:rsid w:val="00234F18"/>
    <w:rsid w:val="0028049F"/>
    <w:rsid w:val="003F01B8"/>
    <w:rsid w:val="0079567D"/>
    <w:rsid w:val="0083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3BACE"/>
  <w15:chartTrackingRefBased/>
  <w15:docId w15:val="{E605BF98-35A5-1143-A32B-D725219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8049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49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8049F"/>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8049F"/>
  </w:style>
  <w:style w:type="paragraph" w:styleId="Caption">
    <w:name w:val="caption"/>
    <w:basedOn w:val="Normal"/>
    <w:next w:val="Normal"/>
    <w:uiPriority w:val="35"/>
    <w:unhideWhenUsed/>
    <w:qFormat/>
    <w:rsid w:val="0028049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71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1209</Words>
  <Characters>6893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Coviello, Collin (Collin.Coviello@ksc.keene.edu)</dc:creator>
  <cp:keywords/>
  <dc:description/>
  <cp:lastModifiedBy>Coviello, Collin (Collin.Coviello@ksc.keene.edu)</cp:lastModifiedBy>
  <cp:revision>4</cp:revision>
  <dcterms:created xsi:type="dcterms:W3CDTF">2018-11-15T20:32:00Z</dcterms:created>
  <dcterms:modified xsi:type="dcterms:W3CDTF">2018-11-15T20:51:00Z</dcterms:modified>
</cp:coreProperties>
</file>